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E587" w14:textId="77777777" w:rsidR="0045328A" w:rsidRDefault="00F21AC5">
      <w:pPr>
        <w:widowControl w:val="0"/>
        <w:spacing w:before="220" w:line="240" w:lineRule="auto"/>
        <w:contextualSpacing w:val="0"/>
        <w:jc w:val="center"/>
        <w:rPr>
          <w:b/>
        </w:rPr>
      </w:pPr>
      <w:r>
        <w:rPr>
          <w:b/>
          <w:lang w:bidi="de-DE"/>
        </w:rPr>
        <w:t>GLANCE TECHNOLOGIES FÜHRT FUNKTION „MIT BITCOIN BEZAHLEN“ EIN</w:t>
      </w:r>
      <w:r>
        <w:rPr>
          <w:b/>
          <w:lang w:bidi="de-DE"/>
        </w:rPr>
        <w:br/>
      </w:r>
    </w:p>
    <w:p w14:paraId="34CD3507" w14:textId="77777777" w:rsidR="0045328A" w:rsidRDefault="0045328A">
      <w:pPr>
        <w:widowControl w:val="0"/>
        <w:spacing w:before="220" w:line="240" w:lineRule="auto"/>
        <w:contextualSpacing w:val="0"/>
        <w:jc w:val="center"/>
        <w:rPr>
          <w:b/>
        </w:rPr>
      </w:pPr>
    </w:p>
    <w:p w14:paraId="3F780C42" w14:textId="4FAE2FD2" w:rsidR="0045328A" w:rsidRDefault="00F21AC5">
      <w:pPr>
        <w:spacing w:after="200"/>
        <w:contextualSpacing w:val="0"/>
        <w:jc w:val="both"/>
      </w:pPr>
      <w:r>
        <w:rPr>
          <w:b/>
          <w:lang w:bidi="de-DE"/>
        </w:rPr>
        <w:t>29. November 2018 - Vancouver, B.C. -</w:t>
      </w:r>
      <w:r>
        <w:rPr>
          <w:lang w:bidi="de-DE"/>
        </w:rPr>
        <w:t xml:space="preserve"> Glance Technologies Inc. („Glance“ oder das „Unternehmen“) (CSE: GET.CN) (OTCQB: GLNNF) (FKT: GJT) freut sich bekannt zu geben, dass die neue Funktion „Mit Bitcoin bezahlen“ eingeführt wurde. Diese Funktion ermöglicht Glance-Pay-Benutzern, ihr Kryptowährungsguthaben mit ihrem Glance-Pay-Konto zu koppeln und anschließend mit Bitcoin Glance-Dollars zu erwerben.  Glance-Dollars stellen ein Guthaben dar, das sofort bei teilnehmenden Händlern im Glance-Bezahlungssystem verwendet werden kann.</w:t>
      </w:r>
    </w:p>
    <w:p w14:paraId="509C0F80" w14:textId="77777777" w:rsidR="00772E76" w:rsidRDefault="00F21AC5">
      <w:pPr>
        <w:spacing w:after="200"/>
        <w:contextualSpacing w:val="0"/>
        <w:jc w:val="both"/>
        <w:rPr>
          <w:lang w:bidi="de-DE"/>
        </w:rPr>
      </w:pPr>
      <w:r>
        <w:rPr>
          <w:lang w:bidi="de-DE"/>
        </w:rPr>
        <w:t>„Wir bauen fortwährend unsere neuen Bezahlfunktionen aus, damit unsere Plattform immer die neueste Technologie zur Verfügung stellen kann“, sagt Desmond Griffin, CEO von Glance Technologies. „Mit Bitcoin zu bezahlen erlaubt es Glance-Benutzern, den Wert ihres Kryptovermögens in ihrem normalen Alltag zu nutzen und eröffnet dadurch nahtlos eine neue innovative Zahlungsmethode für Händler.“</w:t>
      </w:r>
    </w:p>
    <w:p w14:paraId="3CCB1666" w14:textId="686D6606" w:rsidR="0045328A" w:rsidRDefault="00F21AC5">
      <w:pPr>
        <w:spacing w:after="200"/>
        <w:contextualSpacing w:val="0"/>
        <w:jc w:val="both"/>
      </w:pPr>
      <w:r>
        <w:rPr>
          <w:lang w:bidi="de-DE"/>
        </w:rPr>
        <w:t xml:space="preserve"> „Mit Bitcoin bezahlen“ stellt einen wichtigen Schritt für Glance auf dem Weg in seine Blockchain-Infrastruktur dar. Bitcoin ist die vorherrschende Kryptowährung der Welt, aber ein großes Problem bei Bitcoin-Zahlungen ist, dass Transaktionen Stunden dauern können. Glances neue Funktion löst dieses Problem, indem sie blitzschnelle Zahlungen ermöglicht.</w:t>
      </w:r>
    </w:p>
    <w:p w14:paraId="56272730" w14:textId="77777777" w:rsidR="0045328A" w:rsidRDefault="00F21AC5">
      <w:pPr>
        <w:spacing w:after="200"/>
        <w:contextualSpacing w:val="0"/>
        <w:jc w:val="both"/>
      </w:pPr>
      <w:r>
        <w:rPr>
          <w:lang w:bidi="de-DE"/>
        </w:rPr>
        <w:t>In der Vergangenheit war die kryptische und komplizierte Vorgehensweise bei Einrichtung und Verwaltung eines Kryptowährungsguthabens eine der größten Hürden für Händler bei der Einführung von Bezahlung durch Kryptowährung.  Glance ermöglicht es jetzt Händlern, auch ohne jegliches Wissen über Kryptowährung Zahlungen in fiat zu erhalten.</w:t>
      </w:r>
    </w:p>
    <w:p w14:paraId="37173800" w14:textId="77777777" w:rsidR="0045328A" w:rsidRDefault="00F21AC5">
      <w:pPr>
        <w:spacing w:after="200"/>
        <w:contextualSpacing w:val="0"/>
        <w:jc w:val="both"/>
      </w:pPr>
      <w:r>
        <w:rPr>
          <w:lang w:bidi="de-DE"/>
        </w:rPr>
        <w:t>Glance ist überzeugt davon, dass die Funktion „mit Bitcoin bezahlen“ eine großartige Erweiterung seiner Glance PayMe-App darstellt, die Händlern jeder Größe eine unvergleichbare Bandbreite an Bezahlmöglichkeiten bietet, einschließlich leistungsstarker Anti-Betrugstechnologie und einem robusten Treuebonusprogramm – und all das wird über das mobile Endgerät des Händlers abgewickelt, ohne dass zusätzliche Hardware benötigt wird.</w:t>
      </w:r>
    </w:p>
    <w:p w14:paraId="10CC307E" w14:textId="77777777" w:rsidR="0045328A" w:rsidRDefault="00F21AC5">
      <w:pPr>
        <w:spacing w:after="200"/>
        <w:contextualSpacing w:val="0"/>
        <w:jc w:val="both"/>
      </w:pPr>
      <w:r>
        <w:rPr>
          <w:lang w:bidi="de-DE"/>
        </w:rPr>
        <w:t>Glance stellt fest, dass die Umsätze von Square mit Bitcoin im dritten Quartal 2018 bei 43 Millionen US-Dollar lagen. Dies entspricht einem Anstieg von 6 Millionen US-Dollar gegenüber dem Vorquartal, was eine wachsende Nachfrage nach Zahlungen für Bitcoin belegt.</w:t>
      </w:r>
      <w:r>
        <w:rPr>
          <w:lang w:bidi="de-DE"/>
        </w:rPr>
        <w:br/>
      </w:r>
    </w:p>
    <w:p w14:paraId="046D191C" w14:textId="77777777" w:rsidR="0045328A" w:rsidRDefault="00F21AC5">
      <w:pPr>
        <w:keepNext/>
        <w:widowControl w:val="0"/>
        <w:shd w:val="clear" w:color="auto" w:fill="FFFFFF"/>
        <w:spacing w:after="120" w:line="240" w:lineRule="auto"/>
        <w:contextualSpacing w:val="0"/>
        <w:jc w:val="both"/>
        <w:rPr>
          <w:b/>
        </w:rPr>
      </w:pPr>
      <w:bookmarkStart w:id="0" w:name="_30j0zll" w:colFirst="0" w:colLast="0"/>
      <w:bookmarkEnd w:id="0"/>
      <w:r>
        <w:rPr>
          <w:b/>
          <w:lang w:bidi="de-DE"/>
        </w:rPr>
        <w:t>Über Glance Technologies Inc.</w:t>
      </w:r>
    </w:p>
    <w:p w14:paraId="6518BFAD" w14:textId="77777777" w:rsidR="00772E76" w:rsidRDefault="00F21AC5" w:rsidP="00772E76">
      <w:pPr>
        <w:spacing w:after="460"/>
        <w:contextualSpacing w:val="0"/>
        <w:jc w:val="both"/>
        <w:rPr>
          <w:lang w:bidi="de-DE"/>
        </w:rPr>
      </w:pPr>
      <w:r>
        <w:rPr>
          <w:highlight w:val="white"/>
          <w:lang w:bidi="de-DE"/>
        </w:rPr>
        <w:t xml:space="preserve">Glance Technologies ist Eigentümer von </w:t>
      </w:r>
      <w:hyperlink r:id="rId6">
        <w:r>
          <w:rPr>
            <w:highlight w:val="white"/>
            <w:lang w:bidi="de-DE"/>
          </w:rPr>
          <w:t xml:space="preserve"> </w:t>
        </w:r>
      </w:hyperlink>
      <w:hyperlink r:id="rId7">
        <w:r>
          <w:rPr>
            <w:color w:val="1155CC"/>
            <w:highlight w:val="white"/>
            <w:u w:val="single"/>
            <w:lang w:bidi="de-DE"/>
          </w:rPr>
          <w:t>Glance Pay</w:t>
        </w:r>
      </w:hyperlink>
      <w:r>
        <w:rPr>
          <w:highlight w:val="white"/>
          <w:lang w:bidi="de-DE"/>
        </w:rPr>
        <w:t xml:space="preserve"> und</w:t>
      </w:r>
      <w:hyperlink r:id="rId8">
        <w:r>
          <w:rPr>
            <w:highlight w:val="white"/>
            <w:lang w:bidi="de-DE"/>
          </w:rPr>
          <w:t xml:space="preserve"> </w:t>
        </w:r>
      </w:hyperlink>
      <w:hyperlink r:id="rId9">
        <w:r>
          <w:rPr>
            <w:color w:val="1155CC"/>
            <w:highlight w:val="white"/>
            <w:u w:val="single"/>
            <w:lang w:bidi="de-DE"/>
          </w:rPr>
          <w:t>Glance PayMe</w:t>
        </w:r>
      </w:hyperlink>
      <w:r>
        <w:rPr>
          <w:highlight w:val="white"/>
          <w:lang w:bidi="de-DE"/>
        </w:rPr>
        <w:t>, zwei komplementäre Smartphone-Zahlungsanwendungen, mit denen Händler ihren Kunden schnelle, sichere Zahlungen, digitale Treuepunkte und ein besseres Kundenerlebnis bieten können.</w:t>
      </w:r>
      <w:r>
        <w:rPr>
          <w:highlight w:val="white"/>
          <w:lang w:bidi="de-DE"/>
        </w:rPr>
        <w:br/>
      </w:r>
    </w:p>
    <w:p w14:paraId="1DF18927" w14:textId="5B4E4778" w:rsidR="0045328A" w:rsidRDefault="00F21AC5" w:rsidP="00772E76">
      <w:pPr>
        <w:spacing w:after="460"/>
        <w:contextualSpacing w:val="0"/>
        <w:jc w:val="both"/>
        <w:rPr>
          <w:b/>
        </w:rPr>
      </w:pPr>
      <w:r>
        <w:rPr>
          <w:lang w:bidi="de-DE"/>
        </w:rPr>
        <w:t>Für weite</w:t>
      </w:r>
      <w:bookmarkStart w:id="1" w:name="_GoBack"/>
      <w:bookmarkEnd w:id="1"/>
      <w:r>
        <w:rPr>
          <w:lang w:bidi="de-DE"/>
        </w:rPr>
        <w:t xml:space="preserve">re Informationen über Glance, besuchen Sie bitte </w:t>
      </w:r>
      <w:hyperlink r:id="rId10">
        <w:r>
          <w:rPr>
            <w:b/>
            <w:u w:val="single"/>
            <w:lang w:bidi="de-DE"/>
          </w:rPr>
          <w:t>www.glance.tech</w:t>
        </w:r>
      </w:hyperlink>
      <w:r>
        <w:rPr>
          <w:b/>
          <w:lang w:bidi="de-DE"/>
        </w:rPr>
        <w:t xml:space="preserve">. </w:t>
      </w:r>
    </w:p>
    <w:p w14:paraId="56275B95" w14:textId="77777777" w:rsidR="0045328A" w:rsidRDefault="0045328A">
      <w:pPr>
        <w:spacing w:line="240" w:lineRule="auto"/>
        <w:contextualSpacing w:val="0"/>
        <w:jc w:val="both"/>
        <w:rPr>
          <w:b/>
        </w:rPr>
      </w:pPr>
    </w:p>
    <w:p w14:paraId="3EF148BB" w14:textId="77777777" w:rsidR="0045328A" w:rsidRDefault="00B64021">
      <w:pPr>
        <w:keepNext/>
        <w:widowControl w:val="0"/>
        <w:shd w:val="clear" w:color="auto" w:fill="FFFFFF"/>
        <w:spacing w:after="120" w:line="240" w:lineRule="auto"/>
        <w:contextualSpacing w:val="0"/>
        <w:jc w:val="both"/>
      </w:pPr>
      <w:hyperlink r:id="rId11">
        <w:r w:rsidR="00F21AC5">
          <w:rPr>
            <w:b/>
            <w:lang w:bidi="de-DE"/>
          </w:rPr>
          <w:t>Für weitere Informationen kontaktieren Sie bitte:</w:t>
        </w:r>
      </w:hyperlink>
    </w:p>
    <w:p w14:paraId="49801376" w14:textId="77777777" w:rsidR="0045328A" w:rsidRDefault="00F21AC5">
      <w:pPr>
        <w:keepNext/>
        <w:spacing w:line="240" w:lineRule="auto"/>
        <w:contextualSpacing w:val="0"/>
      </w:pPr>
      <w:r>
        <w:rPr>
          <w:lang w:bidi="de-DE"/>
        </w:rPr>
        <w:t>Paola Ashton</w:t>
      </w:r>
      <w:r>
        <w:rPr>
          <w:lang w:bidi="de-DE"/>
        </w:rPr>
        <w:tab/>
      </w:r>
      <w:r>
        <w:rPr>
          <w:lang w:bidi="de-DE"/>
        </w:rPr>
        <w:tab/>
      </w:r>
      <w:r>
        <w:rPr>
          <w:lang w:bidi="de-DE"/>
        </w:rPr>
        <w:tab/>
      </w:r>
      <w:r>
        <w:rPr>
          <w:lang w:bidi="de-DE"/>
        </w:rPr>
        <w:tab/>
      </w:r>
      <w:r>
        <w:rPr>
          <w:lang w:bidi="de-DE"/>
        </w:rPr>
        <w:tab/>
      </w:r>
      <w:r>
        <w:rPr>
          <w:lang w:bidi="de-DE"/>
        </w:rPr>
        <w:tab/>
      </w:r>
      <w:r>
        <w:rPr>
          <w:lang w:bidi="de-DE"/>
        </w:rPr>
        <w:tab/>
      </w:r>
    </w:p>
    <w:p w14:paraId="5177746D" w14:textId="77777777" w:rsidR="0045328A" w:rsidRDefault="00F21AC5">
      <w:pPr>
        <w:keepNext/>
        <w:spacing w:line="240" w:lineRule="auto"/>
        <w:contextualSpacing w:val="0"/>
      </w:pPr>
      <w:r>
        <w:rPr>
          <w:lang w:bidi="de-DE"/>
        </w:rPr>
        <w:t>VP Business Development</w:t>
      </w:r>
      <w:r>
        <w:rPr>
          <w:lang w:bidi="de-DE"/>
        </w:rPr>
        <w:tab/>
      </w:r>
      <w:r>
        <w:rPr>
          <w:lang w:bidi="de-DE"/>
        </w:rPr>
        <w:tab/>
      </w:r>
      <w:r>
        <w:rPr>
          <w:lang w:bidi="de-DE"/>
        </w:rPr>
        <w:tab/>
      </w:r>
      <w:r>
        <w:rPr>
          <w:lang w:bidi="de-DE"/>
        </w:rPr>
        <w:tab/>
      </w:r>
      <w:r>
        <w:rPr>
          <w:lang w:bidi="de-DE"/>
        </w:rPr>
        <w:tab/>
      </w:r>
    </w:p>
    <w:p w14:paraId="6EBA5C47" w14:textId="77777777" w:rsidR="0045328A" w:rsidRDefault="00F21AC5">
      <w:pPr>
        <w:keepNext/>
        <w:spacing w:line="240" w:lineRule="auto"/>
        <w:contextualSpacing w:val="0"/>
      </w:pPr>
      <w:r>
        <w:rPr>
          <w:lang w:bidi="de-DE"/>
        </w:rPr>
        <w:t>604-839-0337</w:t>
      </w:r>
      <w:r>
        <w:rPr>
          <w:lang w:bidi="de-DE"/>
        </w:rPr>
        <w:tab/>
      </w:r>
      <w:r>
        <w:rPr>
          <w:lang w:bidi="de-DE"/>
        </w:rPr>
        <w:tab/>
      </w:r>
      <w:r>
        <w:rPr>
          <w:lang w:bidi="de-DE"/>
        </w:rPr>
        <w:tab/>
      </w:r>
      <w:r>
        <w:rPr>
          <w:lang w:bidi="de-DE"/>
        </w:rPr>
        <w:tab/>
      </w:r>
      <w:r>
        <w:rPr>
          <w:lang w:bidi="de-DE"/>
        </w:rPr>
        <w:tab/>
      </w:r>
      <w:r>
        <w:rPr>
          <w:lang w:bidi="de-DE"/>
        </w:rPr>
        <w:tab/>
      </w:r>
      <w:r>
        <w:rPr>
          <w:lang w:bidi="de-DE"/>
        </w:rPr>
        <w:tab/>
      </w:r>
    </w:p>
    <w:p w14:paraId="7E72F218" w14:textId="77777777" w:rsidR="0045328A" w:rsidRDefault="00B64021">
      <w:pPr>
        <w:spacing w:line="240" w:lineRule="auto"/>
        <w:contextualSpacing w:val="0"/>
        <w:jc w:val="both"/>
      </w:pPr>
      <w:hyperlink r:id="rId12">
        <w:r w:rsidR="00F21AC5">
          <w:rPr>
            <w:color w:val="0000FF"/>
            <w:u w:val="single"/>
            <w:lang w:bidi="de-DE"/>
          </w:rPr>
          <w:t>investors@glancepay.com</w:t>
        </w:r>
      </w:hyperlink>
      <w:r w:rsidR="00F21AC5">
        <w:rPr>
          <w:lang w:bidi="de-DE"/>
        </w:rPr>
        <w:tab/>
      </w:r>
      <w:r w:rsidR="00F21AC5">
        <w:rPr>
          <w:lang w:bidi="de-DE"/>
        </w:rPr>
        <w:tab/>
      </w:r>
      <w:r w:rsidR="00F21AC5">
        <w:rPr>
          <w:lang w:bidi="de-DE"/>
        </w:rPr>
        <w:tab/>
      </w:r>
      <w:r w:rsidR="00F21AC5">
        <w:rPr>
          <w:lang w:bidi="de-DE"/>
        </w:rPr>
        <w:tab/>
      </w:r>
      <w:r w:rsidR="00F21AC5">
        <w:rPr>
          <w:lang w:bidi="de-DE"/>
        </w:rPr>
        <w:tab/>
      </w:r>
    </w:p>
    <w:p w14:paraId="1ABE8EEA" w14:textId="77777777" w:rsidR="0045328A" w:rsidRDefault="0045328A">
      <w:pPr>
        <w:spacing w:after="160"/>
        <w:contextualSpacing w:val="0"/>
        <w:jc w:val="both"/>
      </w:pPr>
    </w:p>
    <w:p w14:paraId="1B7D54CB" w14:textId="0666D1E7" w:rsidR="0045328A" w:rsidRDefault="00F21AC5">
      <w:pPr>
        <w:spacing w:after="160"/>
        <w:contextualSpacing w:val="0"/>
        <w:jc w:val="both"/>
        <w:rPr>
          <w:i/>
        </w:rPr>
      </w:pPr>
      <w:r>
        <w:rPr>
          <w:i/>
          <w:lang w:bidi="de-DE"/>
        </w:rPr>
        <w:t>Weder die Canadian Securities Exchange noch ihr Regulierungsdienstleister (so wie dieser Begriff in den Richtlinien der Canadian Securities Exchange definiert ist) übernehmen die Verantwortung für die Eignung oder Genauigkeit dieser Veröffentlichung.</w:t>
      </w:r>
      <w:r>
        <w:rPr>
          <w:i/>
          <w:lang w:bidi="de-DE"/>
        </w:rPr>
        <w:br/>
      </w:r>
    </w:p>
    <w:p w14:paraId="322AA28C" w14:textId="61FA1C19" w:rsidR="0045328A" w:rsidRDefault="00F21AC5">
      <w:pPr>
        <w:keepNext/>
        <w:widowControl w:val="0"/>
        <w:shd w:val="clear" w:color="auto" w:fill="FFFFFF"/>
        <w:spacing w:after="120" w:line="240" w:lineRule="auto"/>
        <w:contextualSpacing w:val="0"/>
        <w:jc w:val="both"/>
        <w:rPr>
          <w:b/>
        </w:rPr>
      </w:pPr>
      <w:r>
        <w:rPr>
          <w:b/>
          <w:lang w:bidi="de-DE"/>
        </w:rPr>
        <w:t>Zukunftsorientierte Aussagen</w:t>
      </w:r>
    </w:p>
    <w:p w14:paraId="28AAB48B" w14:textId="318F4FEE" w:rsidR="0045328A" w:rsidRDefault="00F21AC5">
      <w:pPr>
        <w:contextualSpacing w:val="0"/>
        <w:jc w:val="both"/>
        <w:rPr>
          <w:rFonts w:ascii="Roboto" w:eastAsia="Roboto" w:hAnsi="Roboto" w:cs="Roboto"/>
          <w:color w:val="212121"/>
          <w:sz w:val="21"/>
          <w:szCs w:val="21"/>
          <w:highlight w:val="white"/>
        </w:rPr>
      </w:pPr>
      <w:bookmarkStart w:id="2" w:name="_1fob9te" w:colFirst="0" w:colLast="0"/>
      <w:bookmarkEnd w:id="2"/>
      <w:r>
        <w:rPr>
          <w:i/>
          <w:lang w:bidi="de-DE"/>
        </w:rPr>
        <w:t xml:space="preserve">Diese Pressemitteilung enthält zukunftsorientierte Informationen oder zukunftsorientierte Aussagen (zusammengefasst: „zukunftsorientierte Informationen“) im Sinne geltender Wertpapiergesetze. Zukunftsorientierte Informationen werden üblicherweise über folgende Wörter identifiziert: „dürfte”, „glauben”, „denken“, „erwarten“, „untersuchen“, „erweitern“, „könnte“, „annehmen“, „beabsichtigen“, „vorhersagen“, „planen“, „verfolgen“, „potenziell“, „projizieren“, „sollte“, „wird“ und ähnliche Begriffe oder Ausdrücke, die naturgemäß auf zukünftige Ereignisse hinweisen. Diese zukunftsorientierten Aussagen, die Risiken und Unsicherheiten beinhalten, beziehen sich unter anderem auf die Diskussion von Glances Geschäftsstrategien und seiner Erwartungen bezüglich zukünftiger Tätigkeiten, der Weiterentwicklung der Blockchain-Infrastruktur von Glance und der Erwartung, dass Glance das Wachstum, den Umfang und die Leistung der Funktion „mit Bitcoin bezahlen“ beschleunigen wird. Obwohl Glance diese zukunftsorientierten Aussagen basierend auf den derzeit verfügbaren Informationen für angemessen hält, könnten sie sich als falsch herausstellen und die zukunftsorientierten Aussagen in dieser Pressemitteilung unterliegen mehreren Risiken, Unsicherheiten und anderen Faktoren, die dazu führen könnten, dass die zukünftigen Ergebnisse von denen in den zukunftsorientierten Aussagen erwähnten Ergebnissen abweichen. Solche Risikofaktoren beinhalten unter anderem Risiken bezüglich der Einführung der neuen Funktion „Mit Bitcoin zahlen“, regulatorische Risiken in Bezug auf Kryptowährungen und das Risiko, dass Glances Software und Anwendungen Sicherheitsprobleme, Sicherheitsschwachstellen oder Defekte im Design oder Herstellung aufweisen, einschließlich Programmfehler und andere Probleme, die den Betrieb der Software stören könnten. Die zukunftsorientierten Informationen in dieser Pressemitteilung basieren ebenso auf bestimmten Schätzungen, Prognosen und Projektionen sowie Erwartungen, Vorstellungen und Annahmen, einschließlich unter anderem, dass Glance seine Geschäftsziele erreicht und dass es Glance möglich sein wird, die anwendereigene Software zu entwickeln, um die Pläne auszuführen. Für weitere Informationen bezüglich dieser und anderer Faktoren und Annahmen dieser zukunftsorientierten Aussagen in dieser Pressemitteilung, sehen Sie bitte den Abschnitt mit dem Titel „Risikofaktoren“ in der aktuellsten Jahresinformation und Broschüre von Glance, den Sie über Glances Profil auf SEDAR unter www.sedar.com einsehen können. Glance weist Investoren darauf hin, dass alle zukunftsorientierten Informationen, die Glance herausgibt, keine Garantie für zukünftige Ergebnisse oder Leistungen darstellen und dass tatsächliche Ergebnisse von den in den zukunftsorientierten Aussagen erwähnten erheblich abweichen </w:t>
      </w:r>
      <w:r>
        <w:rPr>
          <w:i/>
          <w:lang w:bidi="de-DE"/>
        </w:rPr>
        <w:lastRenderedPageBreak/>
        <w:t>können. Es sollte kein unangemessenes Vertrauen auf solche zukunftsorientierten Informationen gesetzt werden, da nicht zugesichert werden kann, dass die Pläne, Absichten und Erwartungen, auf die sie sich stützen, auch eintreten werden.</w:t>
      </w:r>
    </w:p>
    <w:p w14:paraId="37DD109D" w14:textId="77777777" w:rsidR="0045328A" w:rsidRDefault="0045328A">
      <w:pPr>
        <w:contextualSpacing w:val="0"/>
      </w:pPr>
    </w:p>
    <w:sectPr w:rsidR="0045328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C8D2" w14:textId="77777777" w:rsidR="00B64021" w:rsidRDefault="00B64021">
      <w:pPr>
        <w:spacing w:line="240" w:lineRule="auto"/>
      </w:pPr>
      <w:r>
        <w:separator/>
      </w:r>
    </w:p>
  </w:endnote>
  <w:endnote w:type="continuationSeparator" w:id="0">
    <w:p w14:paraId="44513A72" w14:textId="77777777" w:rsidR="00B64021" w:rsidRDefault="00B64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3377" w14:textId="77777777" w:rsidR="00B64021" w:rsidRDefault="00B64021">
      <w:pPr>
        <w:spacing w:line="240" w:lineRule="auto"/>
      </w:pPr>
      <w:r>
        <w:separator/>
      </w:r>
    </w:p>
  </w:footnote>
  <w:footnote w:type="continuationSeparator" w:id="0">
    <w:p w14:paraId="4791A1E2" w14:textId="77777777" w:rsidR="00B64021" w:rsidRDefault="00B640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F9BC" w14:textId="77777777" w:rsidR="0045328A" w:rsidRDefault="00F21AC5">
    <w:pPr>
      <w:spacing w:line="240" w:lineRule="auto"/>
      <w:contextualSpacing w:val="0"/>
    </w:pPr>
    <w:r>
      <w:rPr>
        <w:noProof/>
        <w:lang w:bidi="de-DE"/>
      </w:rPr>
      <w:drawing>
        <wp:inline distT="114300" distB="114300" distL="114300" distR="114300" wp14:anchorId="1439FC5A" wp14:editId="0F92B50E">
          <wp:extent cx="5943600" cy="46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69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8A"/>
    <w:rsid w:val="0045328A"/>
    <w:rsid w:val="00772E76"/>
    <w:rsid w:val="00B008A6"/>
    <w:rsid w:val="00B64021"/>
    <w:rsid w:val="00F21AC5"/>
    <w:rsid w:val="00F7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7BCF"/>
  <w15:docId w15:val="{D1B798E7-77CC-4883-95BA-0FFCA525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lancepayme.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lancepay.com/" TargetMode="External"/><Relationship Id="rId12" Type="http://schemas.openxmlformats.org/officeDocument/2006/relationships/hyperlink" Target="mailto:investors@glancep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ancepay.com/" TargetMode="External"/><Relationship Id="rId11" Type="http://schemas.openxmlformats.org/officeDocument/2006/relationships/hyperlink" Target="http://www.glancepay.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lance.tech" TargetMode="External"/><Relationship Id="rId4" Type="http://schemas.openxmlformats.org/officeDocument/2006/relationships/footnotes" Target="footnotes.xml"/><Relationship Id="rId9" Type="http://schemas.openxmlformats.org/officeDocument/2006/relationships/hyperlink" Target="https://glancepaym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Hoyles</dc:creator>
  <cp:lastModifiedBy>Alexa D-9</cp:lastModifiedBy>
  <cp:revision>4</cp:revision>
  <dcterms:created xsi:type="dcterms:W3CDTF">2018-11-29T02:01:00Z</dcterms:created>
  <dcterms:modified xsi:type="dcterms:W3CDTF">2018-12-11T16:45:00Z</dcterms:modified>
</cp:coreProperties>
</file>